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01" w:rsidRPr="006B2F01" w:rsidRDefault="006B2F01" w:rsidP="006B2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01">
        <w:rPr>
          <w:rFonts w:ascii="Times New Roman" w:eastAsia="Times New Roman" w:hAnsi="Times New Roman" w:cs="Times New Roman"/>
          <w:sz w:val="24"/>
          <w:szCs w:val="24"/>
          <w:lang w:eastAsia="ru-RU"/>
        </w:rPr>
        <w:t>30.10.2018</w:t>
      </w:r>
    </w:p>
    <w:p w:rsidR="006B2F01" w:rsidRPr="006B2F01" w:rsidRDefault="006B2F01" w:rsidP="006B2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СЛУЖБА ПО ТАРИФАМ</w:t>
      </w:r>
      <w:r w:rsidRPr="006B2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КИРОВСКОЙ ОБЛАСТИ</w:t>
      </w:r>
      <w:r w:rsidRPr="006B2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ПРАВЛЕНИЯ </w:t>
      </w:r>
    </w:p>
    <w:p w:rsidR="006B2F01" w:rsidRPr="006B2F01" w:rsidRDefault="006B2F01" w:rsidP="006B2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2"/>
        <w:gridCol w:w="5198"/>
      </w:tblGrid>
      <w:tr w:rsidR="006B2F01" w:rsidRPr="006B2F01" w:rsidTr="006B2F01">
        <w:trPr>
          <w:tblCellSpacing w:w="0" w:type="dxa"/>
        </w:trPr>
        <w:tc>
          <w:tcPr>
            <w:tcW w:w="2940" w:type="dxa"/>
            <w:hideMark/>
          </w:tcPr>
          <w:p w:rsidR="006B2F01" w:rsidRPr="006B2F01" w:rsidRDefault="006B2F01" w:rsidP="006B2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тарифах на питьевую воду (питьевое водоснабжение) для муниципального учреждения администрации муниципального образования </w:t>
            </w:r>
            <w:proofErr w:type="spellStart"/>
            <w:r w:rsidRPr="006B2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Вихаревское</w:t>
            </w:r>
            <w:proofErr w:type="spellEnd"/>
            <w:r w:rsidRPr="006B2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6B2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6B2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Кировской области           </w:t>
            </w:r>
          </w:p>
        </w:tc>
        <w:tc>
          <w:tcPr>
            <w:tcW w:w="4020" w:type="dxa"/>
            <w:vAlign w:val="center"/>
            <w:hideMark/>
          </w:tcPr>
          <w:p w:rsidR="006B2F01" w:rsidRPr="006B2F01" w:rsidRDefault="006B2F01" w:rsidP="006B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2F01" w:rsidRPr="006B2F01" w:rsidRDefault="006B2F01" w:rsidP="006B2F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 38/117-кс-2019 от 30.10.2018 </w:t>
      </w:r>
    </w:p>
    <w:p w:rsidR="006B2F01" w:rsidRPr="006B2F01" w:rsidRDefault="006B2F01" w:rsidP="006B2F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07.12.2011 № 416-ФЗ «О водоснабжении и водоотведении» и Положением о региональной службе по тарифам Кировской области, утвержденным постановлением Правительства Кировской области от 01.09.2008 № 144/365, правление региональной службы по тарифам Кировской области РЕШИЛО: </w:t>
      </w:r>
    </w:p>
    <w:p w:rsidR="006B2F01" w:rsidRPr="006B2F01" w:rsidRDefault="006B2F01" w:rsidP="006B2F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на 2019-2023 годы производственную программу на питьевую воду (питьевое водоснабжение) для муниципального учреждения администрации муниципального образования </w:t>
      </w:r>
      <w:proofErr w:type="spellStart"/>
      <w:r w:rsidRPr="006B2F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Вихаревское</w:t>
      </w:r>
      <w:proofErr w:type="spellEnd"/>
      <w:r w:rsidRPr="006B2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6B2F0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Кильмезского</w:t>
      </w:r>
      <w:proofErr w:type="spellEnd"/>
      <w:r w:rsidRPr="006B2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Кировской области. </w:t>
      </w:r>
    </w:p>
    <w:p w:rsidR="006B2F01" w:rsidRPr="006B2F01" w:rsidRDefault="006B2F01" w:rsidP="006B2F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 на 2019-2023 годы долгосрочные параметры регулирования деятельности муниципального учреждения администрации муниципального образования </w:t>
      </w:r>
      <w:proofErr w:type="spellStart"/>
      <w:r w:rsidRPr="006B2F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Вихаревское</w:t>
      </w:r>
      <w:proofErr w:type="spellEnd"/>
      <w:r w:rsidRPr="006B2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6B2F0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Кильмезского</w:t>
      </w:r>
      <w:proofErr w:type="spellEnd"/>
      <w:r w:rsidRPr="006B2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Кировской области согласно приложению № 1 к настоящему решению. </w:t>
      </w:r>
    </w:p>
    <w:p w:rsidR="006B2F01" w:rsidRPr="006B2F01" w:rsidRDefault="006B2F01" w:rsidP="006B2F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Установить тарифы на питьевую воду (питьевое водоснабжение) для муниципального учреждения администрации муниципального образования </w:t>
      </w:r>
      <w:proofErr w:type="spellStart"/>
      <w:r w:rsidRPr="006B2F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Вихаревское</w:t>
      </w:r>
      <w:proofErr w:type="spellEnd"/>
      <w:r w:rsidRPr="006B2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6B2F0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Кильмезского</w:t>
      </w:r>
      <w:proofErr w:type="spellEnd"/>
      <w:r w:rsidRPr="006B2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Кировской области  на территории муниципального образования </w:t>
      </w:r>
      <w:proofErr w:type="spellStart"/>
      <w:r w:rsidRPr="006B2F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Вихаревское</w:t>
      </w:r>
      <w:proofErr w:type="spellEnd"/>
      <w:r w:rsidRPr="006B2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6B2F0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Кильмезского</w:t>
      </w:r>
      <w:proofErr w:type="spellEnd"/>
      <w:r w:rsidRPr="006B2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Кировской области согласно приложению № 2 к настоящему решению. </w:t>
      </w:r>
    </w:p>
    <w:p w:rsidR="006B2F01" w:rsidRPr="006B2F01" w:rsidRDefault="006B2F01" w:rsidP="006B2F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Тарифы, установленные в пункте 3 настоящего решения, действуют с 01.01.2019 по 31.12.2023. </w:t>
      </w:r>
    </w:p>
    <w:p w:rsidR="006B2F01" w:rsidRPr="006B2F01" w:rsidRDefault="006B2F01" w:rsidP="006B2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F01" w:rsidRPr="006B2F01" w:rsidRDefault="006B2F01" w:rsidP="006B2F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F01" w:rsidRPr="006B2F01" w:rsidRDefault="006B2F01" w:rsidP="006B2F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 службы М.В. Михайлов </w:t>
      </w:r>
    </w:p>
    <w:p w:rsidR="007409A2" w:rsidRDefault="007409A2" w:rsidP="007409A2">
      <w:pPr>
        <w:pStyle w:val="a4"/>
        <w:ind w:left="5245"/>
        <w:rPr>
          <w:sz w:val="28"/>
          <w:szCs w:val="28"/>
        </w:rPr>
      </w:pPr>
    </w:p>
    <w:p w:rsidR="007409A2" w:rsidRDefault="007409A2" w:rsidP="007409A2">
      <w:pPr>
        <w:pStyle w:val="a4"/>
        <w:ind w:left="5245"/>
        <w:rPr>
          <w:sz w:val="28"/>
          <w:szCs w:val="28"/>
        </w:rPr>
      </w:pPr>
    </w:p>
    <w:p w:rsidR="007409A2" w:rsidRDefault="007409A2" w:rsidP="007409A2">
      <w:pPr>
        <w:pStyle w:val="a4"/>
        <w:ind w:left="5245"/>
        <w:rPr>
          <w:sz w:val="28"/>
          <w:szCs w:val="28"/>
        </w:rPr>
      </w:pPr>
    </w:p>
    <w:p w:rsidR="007409A2" w:rsidRDefault="007409A2" w:rsidP="007409A2">
      <w:pPr>
        <w:pStyle w:val="a4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№ 1                        </w:t>
      </w:r>
    </w:p>
    <w:p w:rsidR="007409A2" w:rsidRDefault="007409A2" w:rsidP="007409A2">
      <w:pPr>
        <w:tabs>
          <w:tab w:val="center" w:pos="4677"/>
          <w:tab w:val="right" w:pos="9355"/>
        </w:tabs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решению правления </w:t>
      </w:r>
    </w:p>
    <w:p w:rsidR="007409A2" w:rsidRDefault="007409A2" w:rsidP="007409A2">
      <w:pPr>
        <w:tabs>
          <w:tab w:val="center" w:pos="4677"/>
          <w:tab w:val="right" w:pos="9355"/>
        </w:tabs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РСТ Кировской области </w:t>
      </w:r>
    </w:p>
    <w:p w:rsidR="007409A2" w:rsidRDefault="007409A2" w:rsidP="007409A2">
      <w:pPr>
        <w:tabs>
          <w:tab w:val="center" w:pos="4677"/>
          <w:tab w:val="right" w:pos="9355"/>
        </w:tabs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30.10.2018 № 38/117-кс-2019               </w:t>
      </w:r>
    </w:p>
    <w:p w:rsidR="007409A2" w:rsidRDefault="007409A2" w:rsidP="007409A2">
      <w:pPr>
        <w:pStyle w:val="a4"/>
        <w:ind w:left="5579"/>
        <w:rPr>
          <w:sz w:val="24"/>
          <w:szCs w:val="24"/>
        </w:rPr>
      </w:pPr>
    </w:p>
    <w:p w:rsidR="007409A2" w:rsidRDefault="007409A2" w:rsidP="007409A2">
      <w:pPr>
        <w:pStyle w:val="a4"/>
        <w:ind w:left="5579"/>
        <w:rPr>
          <w:sz w:val="24"/>
          <w:szCs w:val="24"/>
        </w:rPr>
      </w:pPr>
    </w:p>
    <w:p w:rsidR="007409A2" w:rsidRDefault="007409A2" w:rsidP="007409A2">
      <w:pPr>
        <w:pStyle w:val="a4"/>
        <w:tabs>
          <w:tab w:val="clear" w:pos="9355"/>
          <w:tab w:val="left" w:pos="1701"/>
          <w:tab w:val="right" w:pos="5954"/>
          <w:tab w:val="right" w:pos="9498"/>
        </w:tabs>
        <w:ind w:left="6096"/>
        <w:rPr>
          <w:sz w:val="24"/>
          <w:szCs w:val="24"/>
        </w:rPr>
      </w:pPr>
    </w:p>
    <w:p w:rsidR="007409A2" w:rsidRDefault="007409A2" w:rsidP="007409A2">
      <w:pPr>
        <w:pStyle w:val="a4"/>
        <w:tabs>
          <w:tab w:val="clear" w:pos="9355"/>
          <w:tab w:val="left" w:pos="1701"/>
          <w:tab w:val="right" w:pos="5954"/>
          <w:tab w:val="right" w:pos="9498"/>
        </w:tabs>
        <w:jc w:val="center"/>
        <w:rPr>
          <w:sz w:val="32"/>
          <w:szCs w:val="24"/>
        </w:rPr>
      </w:pPr>
      <w:r>
        <w:rPr>
          <w:sz w:val="28"/>
          <w:szCs w:val="24"/>
        </w:rPr>
        <w:t xml:space="preserve">Долгосрочные параметры на 2019-2023 годы регулирования деятельности </w:t>
      </w:r>
      <w:r>
        <w:rPr>
          <w:color w:val="000000"/>
          <w:sz w:val="28"/>
          <w:szCs w:val="28"/>
        </w:rPr>
        <w:t xml:space="preserve">муниципального учреждения администрации муниципального образования </w:t>
      </w:r>
      <w:proofErr w:type="spellStart"/>
      <w:r>
        <w:rPr>
          <w:color w:val="000000"/>
          <w:sz w:val="28"/>
          <w:szCs w:val="28"/>
        </w:rPr>
        <w:t>Вихаревское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color w:val="000000"/>
          <w:sz w:val="28"/>
          <w:szCs w:val="28"/>
        </w:rPr>
        <w:t>Кильмезского</w:t>
      </w:r>
      <w:proofErr w:type="spellEnd"/>
      <w:r>
        <w:rPr>
          <w:sz w:val="28"/>
          <w:szCs w:val="24"/>
        </w:rPr>
        <w:t xml:space="preserve"> района Кировской области</w:t>
      </w:r>
    </w:p>
    <w:tbl>
      <w:tblPr>
        <w:tblW w:w="5000" w:type="pct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43"/>
        <w:gridCol w:w="1060"/>
        <w:gridCol w:w="1951"/>
        <w:gridCol w:w="1868"/>
        <w:gridCol w:w="1135"/>
        <w:gridCol w:w="1614"/>
      </w:tblGrid>
      <w:tr w:rsidR="007409A2" w:rsidTr="007409A2">
        <w:trPr>
          <w:trHeight w:val="968"/>
        </w:trPr>
        <w:tc>
          <w:tcPr>
            <w:tcW w:w="101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09A2" w:rsidRDefault="007409A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Наименование услуги</w:t>
            </w:r>
          </w:p>
        </w:tc>
        <w:tc>
          <w:tcPr>
            <w:tcW w:w="55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09A2" w:rsidRDefault="007409A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Год </w:t>
            </w:r>
          </w:p>
        </w:tc>
        <w:tc>
          <w:tcPr>
            <w:tcW w:w="10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09A2" w:rsidRDefault="00740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Базовый уровень операционных расходов</w:t>
            </w:r>
          </w:p>
        </w:tc>
        <w:tc>
          <w:tcPr>
            <w:tcW w:w="9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09A2" w:rsidRDefault="00740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Индекс эффективности операционных расходов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09A2" w:rsidRDefault="00740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Уровень потерь питье-вой воды</w:t>
            </w:r>
          </w:p>
        </w:tc>
        <w:tc>
          <w:tcPr>
            <w:tcW w:w="8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09A2" w:rsidRDefault="00740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Удельный расход </w:t>
            </w:r>
            <w:proofErr w:type="spellStart"/>
            <w:r>
              <w:rPr>
                <w:sz w:val="21"/>
                <w:szCs w:val="21"/>
              </w:rPr>
              <w:t>электричес</w:t>
            </w:r>
            <w:proofErr w:type="spellEnd"/>
            <w:r>
              <w:rPr>
                <w:sz w:val="21"/>
                <w:szCs w:val="21"/>
              </w:rPr>
              <w:t>-кой энергии</w:t>
            </w:r>
          </w:p>
        </w:tc>
      </w:tr>
      <w:tr w:rsidR="007409A2" w:rsidTr="007409A2">
        <w:trPr>
          <w:trHeight w:val="17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09A2" w:rsidRDefault="007409A2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09A2" w:rsidRDefault="007409A2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09A2" w:rsidRDefault="00740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тыс. руб.</w:t>
            </w:r>
          </w:p>
        </w:tc>
        <w:tc>
          <w:tcPr>
            <w:tcW w:w="9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09A2" w:rsidRDefault="00740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%    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09A2" w:rsidRDefault="00740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8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09A2" w:rsidRDefault="007409A2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кВт.ч</w:t>
            </w:r>
            <w:proofErr w:type="spellEnd"/>
            <w:r>
              <w:rPr>
                <w:sz w:val="21"/>
                <w:szCs w:val="21"/>
              </w:rPr>
              <w:t>./</w:t>
            </w:r>
            <w:proofErr w:type="spellStart"/>
            <w:r>
              <w:rPr>
                <w:sz w:val="21"/>
                <w:szCs w:val="21"/>
              </w:rPr>
              <w:t>куб.м</w:t>
            </w:r>
            <w:proofErr w:type="spellEnd"/>
          </w:p>
        </w:tc>
      </w:tr>
      <w:tr w:rsidR="007409A2" w:rsidTr="007409A2">
        <w:trPr>
          <w:trHeight w:val="181"/>
        </w:trPr>
        <w:tc>
          <w:tcPr>
            <w:tcW w:w="101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09A2" w:rsidRDefault="007409A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Питьевая вода (питьевое водоснабжение)</w:t>
            </w:r>
          </w:p>
        </w:tc>
        <w:tc>
          <w:tcPr>
            <w:tcW w:w="5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09A2" w:rsidRDefault="007409A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2019</w:t>
            </w:r>
          </w:p>
        </w:tc>
        <w:tc>
          <w:tcPr>
            <w:tcW w:w="10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09A2" w:rsidRDefault="007409A2">
            <w:pPr>
              <w:jc w:val="center"/>
            </w:pPr>
            <w:r>
              <w:t>167,51</w:t>
            </w:r>
          </w:p>
        </w:tc>
        <w:tc>
          <w:tcPr>
            <w:tcW w:w="9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09A2" w:rsidRDefault="007409A2">
            <w:pPr>
              <w:jc w:val="center"/>
            </w:pPr>
            <w:r>
              <w:t>-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09A2" w:rsidRDefault="007409A2">
            <w:pPr>
              <w:jc w:val="center"/>
            </w:pPr>
            <w:r>
              <w:t>0</w:t>
            </w:r>
          </w:p>
        </w:tc>
        <w:tc>
          <w:tcPr>
            <w:tcW w:w="8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09A2" w:rsidRDefault="007409A2">
            <w:pPr>
              <w:jc w:val="center"/>
            </w:pPr>
            <w:r>
              <w:t>1,36</w:t>
            </w:r>
          </w:p>
        </w:tc>
      </w:tr>
      <w:tr w:rsidR="007409A2" w:rsidTr="007409A2">
        <w:trPr>
          <w:trHeight w:val="215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09A2" w:rsidRDefault="007409A2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09A2" w:rsidRDefault="007409A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2020</w:t>
            </w:r>
          </w:p>
        </w:tc>
        <w:tc>
          <w:tcPr>
            <w:tcW w:w="10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09A2" w:rsidRDefault="007409A2">
            <w:pPr>
              <w:jc w:val="center"/>
            </w:pPr>
            <w:r>
              <w:t>-</w:t>
            </w:r>
          </w:p>
        </w:tc>
        <w:tc>
          <w:tcPr>
            <w:tcW w:w="9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09A2" w:rsidRDefault="007409A2">
            <w:pPr>
              <w:jc w:val="center"/>
            </w:pPr>
            <w:r>
              <w:t>1,00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09A2" w:rsidRDefault="007409A2">
            <w:pPr>
              <w:jc w:val="center"/>
            </w:pPr>
            <w:r>
              <w:t>0</w:t>
            </w:r>
          </w:p>
        </w:tc>
        <w:tc>
          <w:tcPr>
            <w:tcW w:w="8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09A2" w:rsidRDefault="007409A2">
            <w:pPr>
              <w:jc w:val="center"/>
            </w:pPr>
            <w:r>
              <w:t>1,36</w:t>
            </w:r>
          </w:p>
        </w:tc>
      </w:tr>
      <w:tr w:rsidR="007409A2" w:rsidTr="007409A2">
        <w:trPr>
          <w:trHeight w:val="215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09A2" w:rsidRDefault="007409A2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09A2" w:rsidRDefault="007409A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2021</w:t>
            </w:r>
          </w:p>
        </w:tc>
        <w:tc>
          <w:tcPr>
            <w:tcW w:w="10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09A2" w:rsidRDefault="007409A2">
            <w:pPr>
              <w:jc w:val="center"/>
            </w:pPr>
            <w:r>
              <w:t>-</w:t>
            </w:r>
          </w:p>
        </w:tc>
        <w:tc>
          <w:tcPr>
            <w:tcW w:w="9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09A2" w:rsidRDefault="007409A2">
            <w:pPr>
              <w:jc w:val="center"/>
            </w:pPr>
            <w:r>
              <w:t>1,00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09A2" w:rsidRDefault="007409A2">
            <w:pPr>
              <w:jc w:val="center"/>
            </w:pPr>
            <w:r>
              <w:t>0</w:t>
            </w:r>
          </w:p>
        </w:tc>
        <w:tc>
          <w:tcPr>
            <w:tcW w:w="8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09A2" w:rsidRDefault="007409A2">
            <w:pPr>
              <w:jc w:val="center"/>
            </w:pPr>
            <w:r>
              <w:t>1,36</w:t>
            </w:r>
          </w:p>
        </w:tc>
      </w:tr>
      <w:tr w:rsidR="007409A2" w:rsidTr="007409A2">
        <w:trPr>
          <w:trHeight w:val="215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09A2" w:rsidRDefault="007409A2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09A2" w:rsidRDefault="007409A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2022</w:t>
            </w:r>
          </w:p>
        </w:tc>
        <w:tc>
          <w:tcPr>
            <w:tcW w:w="10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09A2" w:rsidRDefault="007409A2">
            <w:pPr>
              <w:jc w:val="center"/>
            </w:pPr>
            <w:r>
              <w:t>-</w:t>
            </w:r>
          </w:p>
        </w:tc>
        <w:tc>
          <w:tcPr>
            <w:tcW w:w="9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09A2" w:rsidRDefault="007409A2">
            <w:pPr>
              <w:jc w:val="center"/>
            </w:pPr>
            <w:r>
              <w:t>1,00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09A2" w:rsidRDefault="007409A2">
            <w:pPr>
              <w:jc w:val="center"/>
            </w:pPr>
            <w:r>
              <w:t>0</w:t>
            </w:r>
          </w:p>
        </w:tc>
        <w:tc>
          <w:tcPr>
            <w:tcW w:w="8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09A2" w:rsidRDefault="007409A2">
            <w:pPr>
              <w:jc w:val="center"/>
            </w:pPr>
            <w:r>
              <w:t>1,36</w:t>
            </w:r>
          </w:p>
        </w:tc>
      </w:tr>
      <w:tr w:rsidR="007409A2" w:rsidTr="007409A2">
        <w:trPr>
          <w:trHeight w:val="215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09A2" w:rsidRDefault="007409A2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09A2" w:rsidRDefault="007409A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2023</w:t>
            </w:r>
          </w:p>
        </w:tc>
        <w:tc>
          <w:tcPr>
            <w:tcW w:w="10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09A2" w:rsidRDefault="007409A2">
            <w:pPr>
              <w:jc w:val="center"/>
            </w:pPr>
            <w:r>
              <w:t>-</w:t>
            </w:r>
          </w:p>
        </w:tc>
        <w:tc>
          <w:tcPr>
            <w:tcW w:w="9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09A2" w:rsidRDefault="007409A2">
            <w:pPr>
              <w:jc w:val="center"/>
            </w:pPr>
            <w:r>
              <w:t>1,00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09A2" w:rsidRDefault="007409A2">
            <w:pPr>
              <w:jc w:val="center"/>
            </w:pPr>
            <w:r>
              <w:t>0</w:t>
            </w:r>
          </w:p>
        </w:tc>
        <w:tc>
          <w:tcPr>
            <w:tcW w:w="8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09A2" w:rsidRDefault="007409A2">
            <w:pPr>
              <w:jc w:val="center"/>
            </w:pPr>
            <w:r>
              <w:t>1,36</w:t>
            </w:r>
          </w:p>
        </w:tc>
      </w:tr>
    </w:tbl>
    <w:p w:rsidR="007409A2" w:rsidRDefault="007409A2" w:rsidP="007409A2">
      <w:pPr>
        <w:pStyle w:val="a4"/>
        <w:tabs>
          <w:tab w:val="clear" w:pos="9355"/>
          <w:tab w:val="left" w:pos="1701"/>
          <w:tab w:val="right" w:pos="5954"/>
          <w:tab w:val="right" w:pos="9498"/>
        </w:tabs>
        <w:ind w:left="6096"/>
        <w:rPr>
          <w:sz w:val="24"/>
          <w:szCs w:val="24"/>
        </w:rPr>
      </w:pPr>
    </w:p>
    <w:p w:rsidR="007409A2" w:rsidRDefault="007409A2" w:rsidP="007409A2">
      <w:pPr>
        <w:pStyle w:val="a4"/>
        <w:tabs>
          <w:tab w:val="clear" w:pos="9355"/>
          <w:tab w:val="left" w:pos="1701"/>
          <w:tab w:val="right" w:pos="5954"/>
          <w:tab w:val="right" w:pos="9498"/>
        </w:tabs>
        <w:ind w:left="6096"/>
        <w:rPr>
          <w:sz w:val="24"/>
          <w:szCs w:val="24"/>
        </w:rPr>
      </w:pPr>
    </w:p>
    <w:p w:rsidR="007409A2" w:rsidRDefault="007409A2" w:rsidP="007409A2">
      <w:pPr>
        <w:pStyle w:val="a4"/>
        <w:tabs>
          <w:tab w:val="clear" w:pos="9355"/>
          <w:tab w:val="left" w:pos="1701"/>
          <w:tab w:val="right" w:pos="5954"/>
          <w:tab w:val="right" w:pos="9498"/>
        </w:tabs>
        <w:ind w:left="6096"/>
        <w:rPr>
          <w:sz w:val="24"/>
          <w:szCs w:val="24"/>
        </w:rPr>
      </w:pPr>
    </w:p>
    <w:p w:rsidR="007409A2" w:rsidRDefault="007409A2" w:rsidP="007409A2">
      <w:pPr>
        <w:pStyle w:val="a4"/>
        <w:tabs>
          <w:tab w:val="clear" w:pos="9355"/>
          <w:tab w:val="left" w:pos="1701"/>
          <w:tab w:val="right" w:pos="5954"/>
          <w:tab w:val="right" w:pos="9498"/>
        </w:tabs>
        <w:ind w:left="6096"/>
        <w:rPr>
          <w:sz w:val="24"/>
          <w:szCs w:val="24"/>
        </w:rPr>
      </w:pPr>
    </w:p>
    <w:p w:rsidR="007409A2" w:rsidRDefault="007409A2" w:rsidP="007409A2">
      <w:pPr>
        <w:pStyle w:val="a4"/>
        <w:tabs>
          <w:tab w:val="clear" w:pos="9355"/>
          <w:tab w:val="left" w:pos="1701"/>
          <w:tab w:val="right" w:pos="5954"/>
          <w:tab w:val="right" w:pos="9498"/>
        </w:tabs>
        <w:ind w:left="6096"/>
        <w:rPr>
          <w:sz w:val="24"/>
          <w:szCs w:val="24"/>
        </w:rPr>
      </w:pPr>
    </w:p>
    <w:p w:rsidR="007409A2" w:rsidRDefault="007409A2" w:rsidP="007409A2">
      <w:pPr>
        <w:pStyle w:val="a4"/>
        <w:tabs>
          <w:tab w:val="clear" w:pos="9355"/>
          <w:tab w:val="left" w:pos="1701"/>
          <w:tab w:val="right" w:pos="5954"/>
          <w:tab w:val="right" w:pos="9498"/>
        </w:tabs>
        <w:ind w:left="6096"/>
        <w:rPr>
          <w:sz w:val="24"/>
          <w:szCs w:val="24"/>
        </w:rPr>
      </w:pPr>
    </w:p>
    <w:p w:rsidR="007409A2" w:rsidRDefault="007409A2" w:rsidP="007409A2">
      <w:pPr>
        <w:pStyle w:val="a4"/>
        <w:tabs>
          <w:tab w:val="clear" w:pos="9355"/>
          <w:tab w:val="left" w:pos="1701"/>
          <w:tab w:val="right" w:pos="5954"/>
          <w:tab w:val="right" w:pos="9498"/>
        </w:tabs>
        <w:ind w:left="6096"/>
        <w:rPr>
          <w:sz w:val="24"/>
          <w:szCs w:val="24"/>
        </w:rPr>
      </w:pPr>
    </w:p>
    <w:p w:rsidR="007409A2" w:rsidRDefault="007409A2" w:rsidP="007409A2">
      <w:pPr>
        <w:pStyle w:val="a4"/>
        <w:tabs>
          <w:tab w:val="clear" w:pos="9355"/>
          <w:tab w:val="left" w:pos="1701"/>
          <w:tab w:val="right" w:pos="5954"/>
          <w:tab w:val="right" w:pos="9498"/>
        </w:tabs>
        <w:ind w:left="6096"/>
        <w:rPr>
          <w:sz w:val="24"/>
          <w:szCs w:val="24"/>
        </w:rPr>
      </w:pPr>
    </w:p>
    <w:p w:rsidR="007409A2" w:rsidRDefault="007409A2" w:rsidP="007409A2">
      <w:pPr>
        <w:pStyle w:val="a4"/>
        <w:tabs>
          <w:tab w:val="clear" w:pos="9355"/>
          <w:tab w:val="left" w:pos="1701"/>
          <w:tab w:val="right" w:pos="5954"/>
          <w:tab w:val="right" w:pos="9498"/>
        </w:tabs>
        <w:ind w:left="6096"/>
        <w:rPr>
          <w:sz w:val="24"/>
          <w:szCs w:val="24"/>
        </w:rPr>
      </w:pPr>
    </w:p>
    <w:p w:rsidR="007409A2" w:rsidRDefault="007409A2" w:rsidP="007409A2">
      <w:pPr>
        <w:pStyle w:val="a4"/>
        <w:tabs>
          <w:tab w:val="clear" w:pos="9355"/>
          <w:tab w:val="left" w:pos="1701"/>
          <w:tab w:val="right" w:pos="5954"/>
          <w:tab w:val="right" w:pos="9498"/>
        </w:tabs>
        <w:ind w:left="6096"/>
        <w:rPr>
          <w:sz w:val="24"/>
          <w:szCs w:val="24"/>
        </w:rPr>
      </w:pPr>
    </w:p>
    <w:p w:rsidR="007409A2" w:rsidRDefault="007409A2" w:rsidP="007409A2">
      <w:pPr>
        <w:pStyle w:val="a4"/>
        <w:tabs>
          <w:tab w:val="clear" w:pos="9355"/>
          <w:tab w:val="left" w:pos="1701"/>
          <w:tab w:val="right" w:pos="5954"/>
          <w:tab w:val="right" w:pos="9498"/>
        </w:tabs>
        <w:ind w:left="6096"/>
        <w:rPr>
          <w:sz w:val="24"/>
          <w:szCs w:val="24"/>
        </w:rPr>
      </w:pPr>
    </w:p>
    <w:p w:rsidR="007409A2" w:rsidRDefault="007409A2" w:rsidP="007409A2">
      <w:pPr>
        <w:pStyle w:val="a4"/>
        <w:tabs>
          <w:tab w:val="clear" w:pos="9355"/>
          <w:tab w:val="left" w:pos="1701"/>
          <w:tab w:val="right" w:pos="5954"/>
          <w:tab w:val="right" w:pos="9498"/>
        </w:tabs>
        <w:ind w:left="6096"/>
        <w:rPr>
          <w:sz w:val="24"/>
          <w:szCs w:val="24"/>
        </w:rPr>
      </w:pPr>
    </w:p>
    <w:p w:rsidR="007409A2" w:rsidRDefault="007409A2" w:rsidP="007409A2">
      <w:pPr>
        <w:pStyle w:val="a4"/>
        <w:tabs>
          <w:tab w:val="clear" w:pos="9355"/>
          <w:tab w:val="left" w:pos="1701"/>
          <w:tab w:val="right" w:pos="5954"/>
          <w:tab w:val="right" w:pos="9498"/>
        </w:tabs>
        <w:ind w:left="6096"/>
        <w:rPr>
          <w:sz w:val="24"/>
          <w:szCs w:val="24"/>
        </w:rPr>
      </w:pPr>
    </w:p>
    <w:p w:rsidR="007409A2" w:rsidRDefault="007409A2" w:rsidP="007409A2">
      <w:pPr>
        <w:pStyle w:val="a4"/>
        <w:tabs>
          <w:tab w:val="clear" w:pos="9355"/>
          <w:tab w:val="left" w:pos="1701"/>
          <w:tab w:val="right" w:pos="5954"/>
          <w:tab w:val="right" w:pos="9498"/>
        </w:tabs>
        <w:ind w:left="6096"/>
        <w:rPr>
          <w:sz w:val="24"/>
          <w:szCs w:val="24"/>
        </w:rPr>
      </w:pPr>
    </w:p>
    <w:p w:rsidR="007409A2" w:rsidRDefault="007409A2" w:rsidP="007409A2">
      <w:pPr>
        <w:pStyle w:val="a4"/>
        <w:tabs>
          <w:tab w:val="clear" w:pos="9355"/>
          <w:tab w:val="left" w:pos="1701"/>
          <w:tab w:val="right" w:pos="5954"/>
          <w:tab w:val="right" w:pos="9498"/>
        </w:tabs>
        <w:ind w:left="6096"/>
        <w:rPr>
          <w:sz w:val="24"/>
          <w:szCs w:val="24"/>
        </w:rPr>
      </w:pPr>
    </w:p>
    <w:p w:rsidR="007409A2" w:rsidRDefault="007409A2" w:rsidP="007409A2">
      <w:pPr>
        <w:pStyle w:val="a4"/>
        <w:tabs>
          <w:tab w:val="clear" w:pos="9355"/>
          <w:tab w:val="left" w:pos="1701"/>
          <w:tab w:val="right" w:pos="5954"/>
          <w:tab w:val="right" w:pos="9498"/>
        </w:tabs>
        <w:ind w:left="6096"/>
        <w:rPr>
          <w:sz w:val="24"/>
          <w:szCs w:val="24"/>
        </w:rPr>
      </w:pPr>
    </w:p>
    <w:p w:rsidR="007409A2" w:rsidRDefault="007409A2" w:rsidP="007409A2">
      <w:pPr>
        <w:pStyle w:val="a4"/>
        <w:tabs>
          <w:tab w:val="clear" w:pos="9355"/>
          <w:tab w:val="left" w:pos="1701"/>
          <w:tab w:val="right" w:pos="5954"/>
          <w:tab w:val="right" w:pos="9498"/>
        </w:tabs>
        <w:ind w:left="6096"/>
        <w:rPr>
          <w:sz w:val="24"/>
          <w:szCs w:val="24"/>
        </w:rPr>
      </w:pPr>
    </w:p>
    <w:p w:rsidR="007409A2" w:rsidRDefault="007409A2" w:rsidP="007409A2">
      <w:pPr>
        <w:pStyle w:val="a4"/>
        <w:tabs>
          <w:tab w:val="clear" w:pos="9355"/>
          <w:tab w:val="left" w:pos="1701"/>
          <w:tab w:val="right" w:pos="5954"/>
          <w:tab w:val="right" w:pos="9498"/>
        </w:tabs>
        <w:ind w:left="6096"/>
        <w:rPr>
          <w:sz w:val="24"/>
          <w:szCs w:val="24"/>
        </w:rPr>
      </w:pPr>
    </w:p>
    <w:p w:rsidR="007409A2" w:rsidRDefault="007409A2" w:rsidP="007409A2">
      <w:pPr>
        <w:pStyle w:val="a4"/>
        <w:tabs>
          <w:tab w:val="clear" w:pos="9355"/>
          <w:tab w:val="left" w:pos="1701"/>
          <w:tab w:val="right" w:pos="5954"/>
          <w:tab w:val="right" w:pos="9498"/>
        </w:tabs>
        <w:ind w:left="6096"/>
        <w:rPr>
          <w:sz w:val="24"/>
          <w:szCs w:val="24"/>
        </w:rPr>
      </w:pPr>
    </w:p>
    <w:p w:rsidR="007409A2" w:rsidRDefault="007409A2" w:rsidP="00F7108D">
      <w:pPr>
        <w:pStyle w:val="a4"/>
        <w:tabs>
          <w:tab w:val="clear" w:pos="9355"/>
          <w:tab w:val="left" w:pos="1701"/>
          <w:tab w:val="right" w:pos="5954"/>
          <w:tab w:val="right" w:pos="9498"/>
        </w:tabs>
        <w:rPr>
          <w:sz w:val="24"/>
          <w:szCs w:val="24"/>
        </w:rPr>
      </w:pPr>
    </w:p>
    <w:p w:rsidR="00F7108D" w:rsidRPr="00F7108D" w:rsidRDefault="00F7108D" w:rsidP="00F7108D">
      <w:pPr>
        <w:pStyle w:val="a4"/>
        <w:tabs>
          <w:tab w:val="clear" w:pos="9355"/>
          <w:tab w:val="left" w:pos="1701"/>
          <w:tab w:val="right" w:pos="5954"/>
          <w:tab w:val="right" w:pos="9498"/>
        </w:tabs>
        <w:rPr>
          <w:sz w:val="24"/>
          <w:szCs w:val="24"/>
        </w:rPr>
      </w:pPr>
      <w:bookmarkStart w:id="0" w:name="_GoBack"/>
      <w:bookmarkEnd w:id="0"/>
    </w:p>
    <w:p w:rsidR="007409A2" w:rsidRDefault="007409A2" w:rsidP="007409A2">
      <w:pPr>
        <w:pStyle w:val="a4"/>
        <w:tabs>
          <w:tab w:val="clear" w:pos="9355"/>
          <w:tab w:val="left" w:pos="1701"/>
          <w:tab w:val="right" w:pos="5954"/>
          <w:tab w:val="right" w:pos="9498"/>
        </w:tabs>
        <w:ind w:left="6096"/>
        <w:rPr>
          <w:sz w:val="24"/>
          <w:szCs w:val="24"/>
        </w:rPr>
      </w:pPr>
    </w:p>
    <w:p w:rsidR="007409A2" w:rsidRDefault="00F7108D" w:rsidP="007409A2">
      <w:pPr>
        <w:pStyle w:val="a4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2</w:t>
      </w:r>
      <w:r w:rsidR="007409A2">
        <w:rPr>
          <w:sz w:val="28"/>
          <w:szCs w:val="28"/>
        </w:rPr>
        <w:t xml:space="preserve">                       </w:t>
      </w:r>
    </w:p>
    <w:p w:rsidR="007409A2" w:rsidRDefault="007409A2" w:rsidP="007409A2">
      <w:pPr>
        <w:tabs>
          <w:tab w:val="center" w:pos="4677"/>
          <w:tab w:val="right" w:pos="9355"/>
        </w:tabs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решению правления </w:t>
      </w:r>
    </w:p>
    <w:p w:rsidR="007409A2" w:rsidRDefault="007409A2" w:rsidP="007409A2">
      <w:pPr>
        <w:tabs>
          <w:tab w:val="center" w:pos="4677"/>
          <w:tab w:val="right" w:pos="9355"/>
        </w:tabs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РСТ Кировской области </w:t>
      </w:r>
    </w:p>
    <w:p w:rsidR="007409A2" w:rsidRDefault="007409A2" w:rsidP="007409A2">
      <w:pPr>
        <w:tabs>
          <w:tab w:val="center" w:pos="4677"/>
          <w:tab w:val="right" w:pos="9355"/>
        </w:tabs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30.10.2018 № 38/117-кс-2019               </w:t>
      </w:r>
    </w:p>
    <w:p w:rsidR="007409A2" w:rsidRDefault="007409A2" w:rsidP="007409A2">
      <w:pPr>
        <w:pStyle w:val="a4"/>
        <w:tabs>
          <w:tab w:val="clear" w:pos="9355"/>
          <w:tab w:val="left" w:pos="1701"/>
          <w:tab w:val="right" w:pos="5954"/>
          <w:tab w:val="right" w:pos="9498"/>
        </w:tabs>
        <w:ind w:left="6096"/>
        <w:rPr>
          <w:sz w:val="24"/>
          <w:szCs w:val="24"/>
        </w:rPr>
      </w:pPr>
    </w:p>
    <w:p w:rsidR="007409A2" w:rsidRDefault="007409A2" w:rsidP="007409A2">
      <w:pPr>
        <w:pStyle w:val="a4"/>
        <w:tabs>
          <w:tab w:val="clear" w:pos="9355"/>
          <w:tab w:val="left" w:pos="1701"/>
          <w:tab w:val="right" w:pos="5954"/>
          <w:tab w:val="right" w:pos="9498"/>
        </w:tabs>
        <w:ind w:left="6096"/>
        <w:rPr>
          <w:sz w:val="24"/>
          <w:szCs w:val="24"/>
        </w:rPr>
      </w:pPr>
    </w:p>
    <w:p w:rsidR="007409A2" w:rsidRDefault="007409A2" w:rsidP="007409A2">
      <w:pPr>
        <w:tabs>
          <w:tab w:val="center" w:pos="4677"/>
          <w:tab w:val="right" w:pos="6120"/>
        </w:tabs>
        <w:jc w:val="center"/>
        <w:rPr>
          <w:sz w:val="20"/>
          <w:szCs w:val="20"/>
          <w:lang w:eastAsia="ar-SA"/>
        </w:rPr>
      </w:pPr>
      <w:r>
        <w:rPr>
          <w:sz w:val="28"/>
          <w:szCs w:val="28"/>
          <w:lang w:val="x-none" w:eastAsia="ar-SA"/>
        </w:rPr>
        <w:t xml:space="preserve">Тарифы на питьевую воду (питьевое водоснабжение)  для </w:t>
      </w:r>
      <w:r>
        <w:rPr>
          <w:color w:val="000000"/>
          <w:sz w:val="28"/>
          <w:szCs w:val="28"/>
        </w:rPr>
        <w:t xml:space="preserve">муниципального учреждения администрации муниципального образования </w:t>
      </w:r>
      <w:proofErr w:type="spellStart"/>
      <w:r>
        <w:rPr>
          <w:color w:val="000000"/>
          <w:sz w:val="28"/>
          <w:szCs w:val="28"/>
        </w:rPr>
        <w:t>Вихаревское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color w:val="000000"/>
          <w:sz w:val="28"/>
          <w:szCs w:val="28"/>
        </w:rPr>
        <w:t>Кильмезского</w:t>
      </w:r>
      <w:proofErr w:type="spellEnd"/>
      <w:r>
        <w:rPr>
          <w:sz w:val="28"/>
          <w:szCs w:val="28"/>
          <w:lang w:eastAsia="ar-SA"/>
        </w:rPr>
        <w:t xml:space="preserve"> района Кировской области</w:t>
      </w:r>
    </w:p>
    <w:p w:rsidR="007409A2" w:rsidRDefault="007409A2" w:rsidP="007409A2">
      <w:pPr>
        <w:pStyle w:val="a4"/>
        <w:tabs>
          <w:tab w:val="clear" w:pos="9355"/>
          <w:tab w:val="left" w:pos="1701"/>
          <w:tab w:val="right" w:pos="5954"/>
          <w:tab w:val="right" w:pos="9498"/>
        </w:tabs>
        <w:ind w:left="6096"/>
        <w:rPr>
          <w:sz w:val="24"/>
          <w:szCs w:val="24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4"/>
        <w:gridCol w:w="2696"/>
        <w:gridCol w:w="3120"/>
        <w:gridCol w:w="1844"/>
      </w:tblGrid>
      <w:tr w:rsidR="007409A2" w:rsidTr="007409A2">
        <w:trPr>
          <w:trHeight w:val="6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A2" w:rsidRDefault="007409A2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napToGrid w:val="0"/>
                <w:sz w:val="24"/>
                <w:szCs w:val="24"/>
              </w:rPr>
              <w:t>Наименование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A2" w:rsidRDefault="007409A2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Категория потребителей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A2" w:rsidRDefault="007409A2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Период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A2" w:rsidRDefault="007409A2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Тариф в рублях за куб. метр</w:t>
            </w:r>
          </w:p>
        </w:tc>
      </w:tr>
      <w:tr w:rsidR="007409A2" w:rsidTr="007409A2">
        <w:trPr>
          <w:trHeight w:val="26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A2" w:rsidRDefault="007409A2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A2" w:rsidRDefault="007409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Население, собственники жилых помещений и исполнители коммунальных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A2" w:rsidRDefault="007409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 по 30.06.2019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A2" w:rsidRDefault="0074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21,43</w:t>
            </w:r>
          </w:p>
        </w:tc>
      </w:tr>
      <w:tr w:rsidR="007409A2" w:rsidTr="007409A2">
        <w:trPr>
          <w:trHeight w:val="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A2" w:rsidRDefault="007409A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A2" w:rsidRDefault="007409A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A2" w:rsidRDefault="007409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01.07.2019 по 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A2" w:rsidRDefault="0074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22,04</w:t>
            </w:r>
          </w:p>
        </w:tc>
      </w:tr>
      <w:tr w:rsidR="007409A2" w:rsidTr="007409A2">
        <w:trPr>
          <w:trHeight w:val="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A2" w:rsidRDefault="007409A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A2" w:rsidRDefault="007409A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A2" w:rsidRDefault="007409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01.01.2020 по 30.06.2020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A2" w:rsidRDefault="0074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22,04</w:t>
            </w:r>
          </w:p>
        </w:tc>
      </w:tr>
      <w:tr w:rsidR="007409A2" w:rsidTr="007409A2">
        <w:trPr>
          <w:trHeight w:val="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A2" w:rsidRDefault="007409A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A2" w:rsidRDefault="007409A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A2" w:rsidRDefault="007409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01.07.2020 по 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A2" w:rsidRDefault="0074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22,93</w:t>
            </w:r>
          </w:p>
        </w:tc>
      </w:tr>
      <w:tr w:rsidR="007409A2" w:rsidTr="007409A2">
        <w:trPr>
          <w:trHeight w:val="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A2" w:rsidRDefault="007409A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A2" w:rsidRDefault="007409A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A2" w:rsidRDefault="007409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01.01.2021 по 30.06.2021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A2" w:rsidRDefault="0074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22,93</w:t>
            </w:r>
          </w:p>
        </w:tc>
      </w:tr>
      <w:tr w:rsidR="007409A2" w:rsidTr="007409A2">
        <w:trPr>
          <w:trHeight w:val="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A2" w:rsidRDefault="007409A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A2" w:rsidRDefault="007409A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A2" w:rsidRDefault="007409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01.07.2021 по 31.12.2021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A2" w:rsidRDefault="0074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23,56</w:t>
            </w:r>
          </w:p>
        </w:tc>
      </w:tr>
      <w:tr w:rsidR="007409A2" w:rsidTr="007409A2">
        <w:trPr>
          <w:trHeight w:val="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A2" w:rsidRDefault="007409A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A2" w:rsidRDefault="007409A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A2" w:rsidRDefault="007409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01.01.2022 по 30.06.2022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A2" w:rsidRDefault="0074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23,56</w:t>
            </w:r>
          </w:p>
        </w:tc>
      </w:tr>
      <w:tr w:rsidR="007409A2" w:rsidTr="007409A2">
        <w:trPr>
          <w:trHeight w:val="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A2" w:rsidRDefault="007409A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A2" w:rsidRDefault="007409A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A2" w:rsidRDefault="007409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01.07.2022 по 31.12.2022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A2" w:rsidRDefault="0074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23,56</w:t>
            </w:r>
          </w:p>
        </w:tc>
      </w:tr>
      <w:tr w:rsidR="007409A2" w:rsidTr="007409A2">
        <w:trPr>
          <w:trHeight w:val="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A2" w:rsidRDefault="007409A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A2" w:rsidRDefault="007409A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A2" w:rsidRDefault="007409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01.01.2023 по 30.06.2023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A2" w:rsidRDefault="0074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23,56</w:t>
            </w:r>
          </w:p>
        </w:tc>
      </w:tr>
      <w:tr w:rsidR="007409A2" w:rsidTr="007409A2">
        <w:trPr>
          <w:trHeight w:val="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A2" w:rsidRDefault="007409A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A2" w:rsidRDefault="007409A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A2" w:rsidRDefault="007409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01.07.2023 по 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A2" w:rsidRDefault="0074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24,29</w:t>
            </w:r>
          </w:p>
        </w:tc>
      </w:tr>
      <w:tr w:rsidR="007409A2" w:rsidTr="007409A2">
        <w:trPr>
          <w:trHeight w:val="23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A2" w:rsidRDefault="007409A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A2" w:rsidRDefault="007409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Прочие потребители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A2" w:rsidRDefault="007409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 по 30.06.2019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A2" w:rsidRDefault="0074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21,43</w:t>
            </w:r>
          </w:p>
        </w:tc>
      </w:tr>
      <w:tr w:rsidR="007409A2" w:rsidTr="007409A2">
        <w:trPr>
          <w:trHeight w:val="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A2" w:rsidRDefault="007409A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A2" w:rsidRDefault="007409A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A2" w:rsidRDefault="007409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01.07.2019 по 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A2" w:rsidRDefault="0074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22,04</w:t>
            </w:r>
          </w:p>
        </w:tc>
      </w:tr>
      <w:tr w:rsidR="007409A2" w:rsidTr="007409A2">
        <w:trPr>
          <w:trHeight w:val="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A2" w:rsidRDefault="007409A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A2" w:rsidRDefault="007409A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A2" w:rsidRDefault="007409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01.01.2020 по 30.06.2020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A2" w:rsidRDefault="0074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22,04</w:t>
            </w:r>
          </w:p>
        </w:tc>
      </w:tr>
      <w:tr w:rsidR="007409A2" w:rsidTr="007409A2">
        <w:trPr>
          <w:trHeight w:val="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A2" w:rsidRDefault="007409A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A2" w:rsidRDefault="007409A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A2" w:rsidRDefault="007409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01.07.2020 по 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A2" w:rsidRDefault="0074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22,93</w:t>
            </w:r>
          </w:p>
        </w:tc>
      </w:tr>
      <w:tr w:rsidR="007409A2" w:rsidTr="007409A2">
        <w:trPr>
          <w:trHeight w:val="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A2" w:rsidRDefault="007409A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A2" w:rsidRDefault="007409A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A2" w:rsidRDefault="007409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01.01.2021 по 30.06.2021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A2" w:rsidRDefault="0074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22,93</w:t>
            </w:r>
          </w:p>
        </w:tc>
      </w:tr>
      <w:tr w:rsidR="007409A2" w:rsidTr="007409A2">
        <w:trPr>
          <w:trHeight w:val="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A2" w:rsidRDefault="007409A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A2" w:rsidRDefault="007409A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A2" w:rsidRDefault="007409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01.07.2021 по 31.12.2021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A2" w:rsidRDefault="0074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23,56</w:t>
            </w:r>
          </w:p>
        </w:tc>
      </w:tr>
      <w:tr w:rsidR="007409A2" w:rsidTr="007409A2">
        <w:trPr>
          <w:trHeight w:val="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A2" w:rsidRDefault="007409A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A2" w:rsidRDefault="007409A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A2" w:rsidRDefault="007409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01.01.2022 по 30.06.2022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A2" w:rsidRDefault="0074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23,56</w:t>
            </w:r>
          </w:p>
        </w:tc>
      </w:tr>
      <w:tr w:rsidR="007409A2" w:rsidTr="007409A2">
        <w:trPr>
          <w:trHeight w:val="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A2" w:rsidRDefault="007409A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A2" w:rsidRDefault="007409A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A2" w:rsidRDefault="007409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01.07.2022 по 31.12.2022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A2" w:rsidRDefault="0074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23,56</w:t>
            </w:r>
          </w:p>
        </w:tc>
      </w:tr>
      <w:tr w:rsidR="007409A2" w:rsidTr="007409A2">
        <w:trPr>
          <w:trHeight w:val="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A2" w:rsidRDefault="007409A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A2" w:rsidRDefault="007409A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A2" w:rsidRDefault="007409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01.01.2023 по 30.06.2023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A2" w:rsidRDefault="0074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23,56</w:t>
            </w:r>
          </w:p>
        </w:tc>
      </w:tr>
      <w:tr w:rsidR="007409A2" w:rsidTr="007409A2">
        <w:trPr>
          <w:trHeight w:val="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A2" w:rsidRDefault="007409A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A2" w:rsidRDefault="007409A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A2" w:rsidRDefault="007409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01.07.2023 по 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A2" w:rsidRDefault="0074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24,29</w:t>
            </w:r>
          </w:p>
        </w:tc>
      </w:tr>
    </w:tbl>
    <w:p w:rsidR="007409A2" w:rsidRDefault="007409A2" w:rsidP="007409A2">
      <w:pPr>
        <w:suppressAutoHyphens/>
        <w:spacing w:before="120"/>
        <w:ind w:firstLine="652"/>
        <w:jc w:val="both"/>
        <w:rPr>
          <w:bCs/>
          <w:color w:val="000000"/>
          <w:sz w:val="24"/>
          <w:szCs w:val="24"/>
          <w:lang w:eastAsia="ar-SA"/>
        </w:rPr>
      </w:pPr>
      <w:r>
        <w:rPr>
          <w:bCs/>
          <w:sz w:val="24"/>
          <w:szCs w:val="24"/>
        </w:rPr>
        <w:t>Налог на добавленную стоимость не взимается в соответствии со ст. 145 Налогового кодекса Российской Федерации.</w:t>
      </w:r>
    </w:p>
    <w:p w:rsidR="007409A2" w:rsidRDefault="007409A2" w:rsidP="007409A2">
      <w:pPr>
        <w:pStyle w:val="a4"/>
        <w:tabs>
          <w:tab w:val="clear" w:pos="9355"/>
          <w:tab w:val="left" w:pos="1701"/>
          <w:tab w:val="right" w:pos="5954"/>
          <w:tab w:val="right" w:pos="9498"/>
        </w:tabs>
        <w:ind w:left="6096"/>
        <w:rPr>
          <w:sz w:val="24"/>
          <w:szCs w:val="24"/>
        </w:rPr>
      </w:pPr>
    </w:p>
    <w:p w:rsidR="007409A2" w:rsidRDefault="007409A2" w:rsidP="007409A2">
      <w:pPr>
        <w:pStyle w:val="a4"/>
        <w:tabs>
          <w:tab w:val="clear" w:pos="9355"/>
          <w:tab w:val="left" w:pos="1701"/>
          <w:tab w:val="right" w:pos="5954"/>
          <w:tab w:val="right" w:pos="9498"/>
        </w:tabs>
        <w:ind w:left="6096"/>
        <w:rPr>
          <w:sz w:val="24"/>
          <w:szCs w:val="24"/>
        </w:rPr>
      </w:pPr>
    </w:p>
    <w:p w:rsidR="007409A2" w:rsidRDefault="007409A2" w:rsidP="007409A2">
      <w:pPr>
        <w:pStyle w:val="a4"/>
        <w:tabs>
          <w:tab w:val="clear" w:pos="9355"/>
          <w:tab w:val="left" w:pos="1701"/>
          <w:tab w:val="right" w:pos="5954"/>
          <w:tab w:val="right" w:pos="949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7409A2" w:rsidRDefault="007409A2" w:rsidP="007409A2">
      <w:pPr>
        <w:pStyle w:val="a4"/>
        <w:tabs>
          <w:tab w:val="clear" w:pos="9355"/>
          <w:tab w:val="left" w:pos="1701"/>
          <w:tab w:val="right" w:pos="5954"/>
          <w:tab w:val="right" w:pos="9498"/>
        </w:tabs>
        <w:ind w:left="6096"/>
        <w:rPr>
          <w:sz w:val="24"/>
          <w:szCs w:val="24"/>
        </w:rPr>
      </w:pPr>
    </w:p>
    <w:p w:rsidR="007409A2" w:rsidRDefault="007409A2" w:rsidP="007409A2">
      <w:pPr>
        <w:pStyle w:val="a4"/>
        <w:tabs>
          <w:tab w:val="clear" w:pos="9355"/>
          <w:tab w:val="left" w:pos="1701"/>
          <w:tab w:val="right" w:pos="5954"/>
          <w:tab w:val="right" w:pos="9498"/>
        </w:tabs>
        <w:ind w:left="6096"/>
        <w:rPr>
          <w:sz w:val="24"/>
          <w:szCs w:val="24"/>
        </w:rPr>
      </w:pPr>
    </w:p>
    <w:p w:rsidR="00287AD7" w:rsidRDefault="00287AD7"/>
    <w:sectPr w:rsidR="00287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01"/>
    <w:rsid w:val="00287AD7"/>
    <w:rsid w:val="006B2F01"/>
    <w:rsid w:val="007409A2"/>
    <w:rsid w:val="00F7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409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409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409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409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3186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dcterms:created xsi:type="dcterms:W3CDTF">2018-11-29T10:54:00Z</dcterms:created>
  <dcterms:modified xsi:type="dcterms:W3CDTF">2018-11-29T11:39:00Z</dcterms:modified>
</cp:coreProperties>
</file>